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C" w:rsidRDefault="001F6CFC" w:rsidP="004251CA">
      <w:pPr>
        <w:ind w:left="5103" w:right="566" w:hanging="90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риложение </w:t>
      </w:r>
    </w:p>
    <w:p w:rsidR="001F6CFC" w:rsidRDefault="001F6CFC" w:rsidP="004251CA">
      <w:pPr>
        <w:ind w:left="5103" w:right="566" w:hanging="90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1F6CFC" w:rsidRPr="0095163D" w:rsidRDefault="001F6CFC" w:rsidP="004251CA">
      <w:pPr>
        <w:ind w:left="5103" w:right="566" w:hanging="90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города Сочи</w:t>
      </w: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16074B" w:rsidRDefault="001F6CFC" w:rsidP="004251CA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95163D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______________ № ___________</w:t>
      </w:r>
    </w:p>
    <w:p w:rsidR="001F6CFC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F6CFC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F6CFC" w:rsidRPr="00966707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0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F6CF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66707"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</w:p>
    <w:p w:rsidR="001F6CFC" w:rsidRPr="00966707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07">
        <w:rPr>
          <w:rFonts w:ascii="Times New Roman" w:hAnsi="Times New Roman" w:cs="Times New Roman"/>
          <w:b/>
          <w:sz w:val="28"/>
          <w:szCs w:val="28"/>
        </w:rPr>
        <w:t>«ТРАНСПОРТНОЕ ОБСЛУЖИВАНИЕ НАСЕЛЕНИЯ МУНИЦИПАЛЬНОГО ОБРАЗОВАНИЯ ГОРОД-КУРОРТ СОЧИ</w:t>
      </w:r>
      <w:r w:rsidR="00442CD7">
        <w:rPr>
          <w:rFonts w:ascii="Times New Roman" w:hAnsi="Times New Roman" w:cs="Times New Roman"/>
          <w:b/>
          <w:sz w:val="28"/>
          <w:szCs w:val="28"/>
        </w:rPr>
        <w:t>»</w:t>
      </w:r>
    </w:p>
    <w:p w:rsidR="001F6CFC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63936" w:rsidRDefault="00263936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63936" w:rsidRPr="00263936" w:rsidRDefault="00263936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263936">
        <w:rPr>
          <w:rFonts w:ascii="Times New Roman" w:hAnsi="Times New Roman" w:cs="Times New Roman"/>
          <w:sz w:val="28"/>
          <w:szCs w:val="28"/>
        </w:rPr>
        <w:t>муниципальной программы города Сочи</w:t>
      </w:r>
    </w:p>
    <w:p w:rsidR="00263936" w:rsidRDefault="00263936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«Транспортное обслуживание населения муниципального образования город-курорт Сочи</w:t>
      </w:r>
      <w:r w:rsidRPr="00F22818">
        <w:rPr>
          <w:rFonts w:ascii="Times New Roman" w:hAnsi="Times New Roman" w:cs="Times New Roman"/>
          <w:sz w:val="28"/>
          <w:szCs w:val="28"/>
        </w:rPr>
        <w:t>»</w:t>
      </w:r>
    </w:p>
    <w:p w:rsidR="00263936" w:rsidRDefault="001F6CFC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60CB4" w:rsidRDefault="00060CB4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63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19" w:type="dxa"/>
          </w:tcPr>
          <w:p w:rsidR="001F6CFC" w:rsidRPr="00F22818" w:rsidRDefault="00966707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ртамент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связи администрации города Сочи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4819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F6CFC" w:rsidRPr="00F22818" w:rsidTr="00966707">
        <w:trPr>
          <w:trHeight w:val="275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819" w:type="dxa"/>
          </w:tcPr>
          <w:p w:rsidR="001F6CFC" w:rsidRPr="00F22818" w:rsidRDefault="007E5E21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19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404F74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</w:tc>
        <w:tc>
          <w:tcPr>
            <w:tcW w:w="4819" w:type="dxa"/>
          </w:tcPr>
          <w:p w:rsidR="001F6CFC" w:rsidRPr="00404F74" w:rsidRDefault="001F6CFC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безопасного функционирования пассажирского транспорта, направленного на удовлетворение потребности всех слоев населения в транспортных услугах.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404F74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</w:tcPr>
          <w:p w:rsidR="002F7F95" w:rsidRPr="002F7F95" w:rsidRDefault="001F6CFC" w:rsidP="00D02177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>- оказание финансовой поддержки предприятиям транспорта</w:t>
            </w:r>
            <w:r w:rsidR="005D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F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выполняющим социально значимые перевозки в городе Сочи.</w:t>
            </w:r>
          </w:p>
          <w:p w:rsidR="001F6CFC" w:rsidRPr="00404F74" w:rsidRDefault="002F7F95" w:rsidP="00D02177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F9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работы городского транспорта общего пользования и устойчивости функционирования транспортной инфраструктуры.</w:t>
            </w:r>
          </w:p>
          <w:p w:rsidR="001F6CFC" w:rsidRPr="00404F74" w:rsidRDefault="001F6CFC" w:rsidP="004251CA">
            <w:pPr>
              <w:ind w:right="56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F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4819" w:type="dxa"/>
          </w:tcPr>
          <w:p w:rsidR="001F6CFC" w:rsidRPr="00F22818" w:rsidRDefault="001F6CFC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0FD9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проживающих в населенных пунктах, не имеющих </w:t>
            </w:r>
            <w:r w:rsidRPr="00660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регулярного автобусного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F6CFC" w:rsidRDefault="001F6CFC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BE3" w:rsidRPr="00C71BE3">
              <w:rPr>
                <w:rFonts w:ascii="Times New Roman" w:hAnsi="Times New Roman" w:cs="Times New Roman"/>
                <w:sz w:val="24"/>
                <w:szCs w:val="24"/>
              </w:rPr>
              <w:t>оля населения города Сочи регулярно пользующегося городским общественным транспортом</w:t>
            </w: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CFC" w:rsidRPr="00F22818" w:rsidRDefault="001F6CFC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BE3" w:rsidRPr="00C71BE3">
              <w:rPr>
                <w:rFonts w:ascii="Times New Roman" w:hAnsi="Times New Roman" w:cs="Times New Roman"/>
                <w:sz w:val="24"/>
                <w:szCs w:val="24"/>
              </w:rPr>
              <w:t>своение средств бюджета города Сочи, предусмотренных Департаменту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CFC" w:rsidRDefault="001F6CFC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BE3" w:rsidRPr="00C71BE3">
              <w:rPr>
                <w:rFonts w:ascii="Times New Roman" w:hAnsi="Times New Roman" w:cs="Times New Roman"/>
                <w:sz w:val="24"/>
                <w:szCs w:val="24"/>
              </w:rPr>
              <w:t>оля водителей автотранспортных предприятий города Сочи, снабженных форменной одеждой</w:t>
            </w:r>
            <w:r w:rsidR="00C71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EC6" w:rsidRDefault="00182EC6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82EC6">
              <w:rPr>
                <w:rFonts w:ascii="Times New Roman" w:hAnsi="Times New Roman" w:cs="Times New Roman"/>
                <w:sz w:val="24"/>
                <w:szCs w:val="24"/>
              </w:rPr>
              <w:t>оля автобусов, обслуживающих маршрутную сеть города Сочи, оборудованных системой ГЛОНАСС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EC6" w:rsidRDefault="00182EC6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д</w:t>
            </w:r>
            <w:r w:rsidRPr="00182EC6">
              <w:rPr>
                <w:rFonts w:ascii="Times New Roman" w:hAnsi="Times New Roman" w:cs="Times New Roman"/>
                <w:sz w:val="24"/>
                <w:szCs w:val="24"/>
              </w:rPr>
              <w:t xml:space="preserve">оля автобусов, обслуживающих маршрутную сеть города Сочи, оборудованных в соответствии с требованиями Федерального закона от 09.02.2007 №16-ФЗ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транспортной безопасности»;</w:t>
            </w:r>
          </w:p>
          <w:p w:rsidR="00C71BE3" w:rsidRPr="00F22818" w:rsidRDefault="00C71BE3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71BE3">
              <w:rPr>
                <w:rFonts w:ascii="Times New Roman" w:hAnsi="Times New Roman" w:cs="Times New Roman"/>
                <w:sz w:val="24"/>
                <w:szCs w:val="24"/>
              </w:rPr>
              <w:t>ыполнение муниципальных заданий на оказание услуг в области организации транспортного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19" w:type="dxa"/>
          </w:tcPr>
          <w:p w:rsidR="001F6CFC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  <w:p w:rsidR="001F6CFC" w:rsidRPr="00F22818" w:rsidRDefault="001F6CFC" w:rsidP="001270E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075478">
              <w:rPr>
                <w:rFonts w:ascii="Times New Roman" w:hAnsi="Times New Roman" w:cs="Times New Roman"/>
                <w:sz w:val="24"/>
                <w:szCs w:val="24"/>
              </w:rPr>
              <w:t>реализации не предусмотрены</w:t>
            </w:r>
          </w:p>
        </w:tc>
      </w:tr>
      <w:tr w:rsidR="001F6CFC" w:rsidRPr="00F22818" w:rsidTr="00966707">
        <w:trPr>
          <w:trHeight w:val="263"/>
        </w:trPr>
        <w:tc>
          <w:tcPr>
            <w:tcW w:w="3544" w:type="dxa"/>
          </w:tcPr>
          <w:p w:rsidR="001F6CFC" w:rsidRPr="00F22818" w:rsidRDefault="001F6CFC" w:rsidP="004251CA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819" w:type="dxa"/>
          </w:tcPr>
          <w:p w:rsidR="00075478" w:rsidRDefault="00075478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E7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E23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E23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5E" w:rsidRDefault="00075478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Сочи </w:t>
            </w:r>
            <w:r w:rsidR="00E77E23">
              <w:rPr>
                <w:rFonts w:ascii="Times New Roman" w:hAnsi="Times New Roman" w:cs="Times New Roman"/>
                <w:sz w:val="24"/>
                <w:szCs w:val="24"/>
              </w:rPr>
              <w:t>2 777 481,2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928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CFC" w:rsidRPr="00F22818" w:rsidRDefault="0088567E" w:rsidP="004251CA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47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 xml:space="preserve"> 6 000,0</w:t>
            </w:r>
            <w:r w:rsidR="001F6CFC" w:rsidRPr="00F228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60CB4" w:rsidRDefault="00060CB4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37C9C" w:rsidRDefault="00F37C9C" w:rsidP="00330DC8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A21" w:rsidRDefault="001341BA" w:rsidP="007A28BD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760A69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и </w:t>
      </w:r>
      <w:r w:rsidR="00075478">
        <w:rPr>
          <w:rFonts w:ascii="Times New Roman" w:hAnsi="Times New Roman" w:cs="Times New Roman"/>
          <w:b/>
          <w:sz w:val="28"/>
          <w:szCs w:val="28"/>
        </w:rPr>
        <w:t xml:space="preserve">основные проблемы в </w:t>
      </w:r>
      <w:r w:rsidRPr="00760A69">
        <w:rPr>
          <w:rFonts w:ascii="Times New Roman" w:hAnsi="Times New Roman" w:cs="Times New Roman"/>
          <w:b/>
          <w:sz w:val="28"/>
          <w:szCs w:val="28"/>
        </w:rPr>
        <w:t>сфер</w:t>
      </w:r>
      <w:r w:rsidR="00075478">
        <w:rPr>
          <w:rFonts w:ascii="Times New Roman" w:hAnsi="Times New Roman" w:cs="Times New Roman"/>
          <w:b/>
          <w:sz w:val="28"/>
          <w:szCs w:val="28"/>
        </w:rPr>
        <w:t>е</w:t>
      </w:r>
      <w:r w:rsidRPr="00760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78">
        <w:rPr>
          <w:rFonts w:ascii="Times New Roman" w:hAnsi="Times New Roman" w:cs="Times New Roman"/>
          <w:b/>
          <w:sz w:val="28"/>
          <w:szCs w:val="28"/>
        </w:rPr>
        <w:t>транспортного обслуживания населения</w:t>
      </w:r>
    </w:p>
    <w:p w:rsidR="00CE3BC1" w:rsidRDefault="00CE3BC1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C1" w:rsidRPr="008F0519" w:rsidRDefault="00CE3BC1" w:rsidP="004251CA">
      <w:pPr>
        <w:pStyle w:val="ad"/>
        <w:ind w:right="566" w:firstLine="720"/>
        <w:jc w:val="both"/>
        <w:rPr>
          <w:sz w:val="28"/>
          <w:szCs w:val="28"/>
        </w:rPr>
      </w:pPr>
      <w:proofErr w:type="gramStart"/>
      <w:r w:rsidRPr="008F0519">
        <w:rPr>
          <w:sz w:val="28"/>
          <w:szCs w:val="28"/>
        </w:rPr>
        <w:t>Государственная политика Российской Федерации в сфере развития транспортной системы на долгосрочный период определена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</w:t>
      </w:r>
      <w:r>
        <w:rPr>
          <w:sz w:val="28"/>
          <w:szCs w:val="28"/>
        </w:rPr>
        <w:t xml:space="preserve"> </w:t>
      </w:r>
      <w:r w:rsidRPr="008F0519">
        <w:rPr>
          <w:sz w:val="28"/>
          <w:szCs w:val="28"/>
        </w:rPr>
        <w:t>1662-р,</w:t>
      </w:r>
      <w:r>
        <w:rPr>
          <w:sz w:val="28"/>
          <w:szCs w:val="28"/>
        </w:rPr>
        <w:br/>
      </w:r>
      <w:r w:rsidRPr="008F0519">
        <w:rPr>
          <w:sz w:val="28"/>
          <w:szCs w:val="28"/>
        </w:rPr>
        <w:t xml:space="preserve">в которой установлено, что для достижения цели создания условий </w:t>
      </w:r>
      <w:r w:rsidRPr="008F0519">
        <w:rPr>
          <w:sz w:val="28"/>
          <w:szCs w:val="28"/>
        </w:rPr>
        <w:lastRenderedPageBreak/>
        <w:t>повышения конкурентоспособности экономики и качества жизни населения необходимо обеспечить:</w:t>
      </w:r>
      <w:proofErr w:type="gramEnd"/>
    </w:p>
    <w:p w:rsidR="00CE3BC1" w:rsidRPr="008F0519" w:rsidRDefault="00CE3BC1" w:rsidP="004251CA">
      <w:pPr>
        <w:pStyle w:val="ad"/>
        <w:ind w:right="566" w:firstLine="720"/>
        <w:jc w:val="both"/>
        <w:rPr>
          <w:sz w:val="28"/>
          <w:szCs w:val="28"/>
        </w:rPr>
      </w:pPr>
      <w:r w:rsidRPr="008F0519">
        <w:rPr>
          <w:sz w:val="28"/>
          <w:szCs w:val="28"/>
        </w:rPr>
        <w:t>транспортное обеспечение комплексного освоения и развития территорий;</w:t>
      </w:r>
    </w:p>
    <w:p w:rsidR="00CE3BC1" w:rsidRDefault="00CE3BC1" w:rsidP="004251CA">
      <w:pPr>
        <w:pStyle w:val="ad"/>
        <w:ind w:right="566" w:firstLine="720"/>
        <w:jc w:val="both"/>
        <w:rPr>
          <w:sz w:val="28"/>
          <w:szCs w:val="28"/>
        </w:rPr>
      </w:pPr>
      <w:r w:rsidRPr="008F0519">
        <w:rPr>
          <w:sz w:val="28"/>
          <w:szCs w:val="28"/>
        </w:rPr>
        <w:t>формирование и распространение новых транспортных технологий, обеспечивающих повышение качества и доступности транспортных услуг, в том числе путем обеспечения современным информационно-техническим оснащением и системами навигации тр</w:t>
      </w:r>
      <w:r w:rsidR="007E5E21">
        <w:rPr>
          <w:sz w:val="28"/>
          <w:szCs w:val="28"/>
        </w:rPr>
        <w:t>анспортных узлов и коммуникаций</w:t>
      </w:r>
    </w:p>
    <w:p w:rsidR="007A0A21" w:rsidRDefault="007A0A21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Пассажирский транспорт общего пользования является важнейшей составной частью социальной и производственной инфраструктуры муниципального образования город-курорт Сочи. </w:t>
      </w:r>
    </w:p>
    <w:p w:rsidR="005340CB" w:rsidRDefault="005340CB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перевозки пассажиров на территории муниципального образования город-курорт Сочи осуществляют 9 предприятий пассажирского транспорта (в том числе 2 предприятия муниципальной формы собственности, 7 – иных форм собственности):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«Сочиавтотранс»;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«Лазаревскоеавтотранс»;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«СПАТП №6»;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–6»;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«Автотранспортник»;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«Трасса»;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«Экспресс-авто»;</w:t>
      </w:r>
    </w:p>
    <w:p w:rsidR="00B426DD" w:rsidRDefault="00B426DD" w:rsidP="004251CA">
      <w:pPr>
        <w:pStyle w:val="a4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«Интервал».</w:t>
      </w:r>
    </w:p>
    <w:p w:rsidR="00F626DD" w:rsidRDefault="00F626DD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DD" w:rsidRDefault="00B426DD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Маршрутная сеть муниципального образования город-курорт Сочи представлена 4</w:t>
      </w:r>
      <w:r w:rsidR="00C727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городскими автобусными маршрутами и 6</w:t>
      </w:r>
      <w:r w:rsidR="00C727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пригородными автобусными маршрутами.</w:t>
      </w:r>
    </w:p>
    <w:p w:rsidR="00C7270F" w:rsidRDefault="00B426DD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автобусных маршрутов составляет более 3000 км. </w:t>
      </w:r>
    </w:p>
    <w:p w:rsidR="008709B5" w:rsidRDefault="000204AD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пассажирским транспортом перевезено </w:t>
      </w:r>
      <w:r w:rsidR="00442CD7">
        <w:rPr>
          <w:rFonts w:ascii="Times New Roman" w:hAnsi="Times New Roman" w:cs="Times New Roman"/>
          <w:sz w:val="28"/>
          <w:szCs w:val="28"/>
        </w:rPr>
        <w:t>8</w:t>
      </w:r>
      <w:r w:rsidR="00C7270F">
        <w:rPr>
          <w:rFonts w:ascii="Times New Roman" w:hAnsi="Times New Roman" w:cs="Times New Roman"/>
          <w:sz w:val="28"/>
          <w:szCs w:val="28"/>
        </w:rPr>
        <w:t>1 </w:t>
      </w:r>
      <w:r w:rsidR="00442CD7">
        <w:rPr>
          <w:rFonts w:ascii="Times New Roman" w:hAnsi="Times New Roman" w:cs="Times New Roman"/>
          <w:sz w:val="28"/>
          <w:szCs w:val="28"/>
        </w:rPr>
        <w:t>389,5</w:t>
      </w:r>
      <w:r>
        <w:rPr>
          <w:rFonts w:ascii="Times New Roman" w:hAnsi="Times New Roman" w:cs="Times New Roman"/>
          <w:sz w:val="28"/>
          <w:szCs w:val="28"/>
        </w:rPr>
        <w:t xml:space="preserve"> тыс. пассажиров и выполнено </w:t>
      </w:r>
      <w:r w:rsidR="00C7270F">
        <w:rPr>
          <w:rFonts w:ascii="Times New Roman" w:hAnsi="Times New Roman" w:cs="Times New Roman"/>
          <w:sz w:val="28"/>
          <w:szCs w:val="28"/>
        </w:rPr>
        <w:t>576 668,85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-километров транспортной работы, выполнено </w:t>
      </w:r>
      <w:r w:rsidR="00C7270F">
        <w:rPr>
          <w:rFonts w:ascii="Times New Roman" w:hAnsi="Times New Roman" w:cs="Times New Roman"/>
          <w:sz w:val="28"/>
          <w:szCs w:val="28"/>
        </w:rPr>
        <w:t xml:space="preserve">2 973 588 </w:t>
      </w:r>
      <w:r>
        <w:rPr>
          <w:rFonts w:ascii="Times New Roman" w:hAnsi="Times New Roman" w:cs="Times New Roman"/>
          <w:sz w:val="28"/>
          <w:szCs w:val="28"/>
        </w:rPr>
        <w:t>рейсов</w:t>
      </w:r>
      <w:r w:rsidR="00C7270F">
        <w:rPr>
          <w:rFonts w:ascii="Times New Roman" w:hAnsi="Times New Roman" w:cs="Times New Roman"/>
          <w:sz w:val="28"/>
          <w:szCs w:val="28"/>
        </w:rPr>
        <w:t>.</w:t>
      </w:r>
    </w:p>
    <w:p w:rsidR="008709B5" w:rsidRDefault="00D6141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Комиссией по безопасности дорожного движения ведется работа по обеспечению безопасности дорожного движения: регулярно проводятся инструктажи с водительским составом по безопасности дорожного движения, обследуются городские и пригородные маршруты. О выявленных недостатках информация направляется в администрации внутригородских районов города Сочи и владельцам дорог для их устранения.</w:t>
      </w:r>
    </w:p>
    <w:p w:rsidR="008709B5" w:rsidRDefault="008709B5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87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Олимпийским зимним играм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7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зимним играм 2014 года в городе Сочи значительно обновлен подвижной состав предприятий пассажирского транспорта. </w:t>
      </w:r>
    </w:p>
    <w:p w:rsidR="008709B5" w:rsidRDefault="00DF5B8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709B5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краевой целевой программы «Обеспечение строительства олимпийских объектов и развития города Сочи как горноклиматического и бальнеологического курорта» 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8709B5">
        <w:rPr>
          <w:rFonts w:ascii="Times New Roman" w:hAnsi="Times New Roman" w:cs="Times New Roman"/>
          <w:sz w:val="28"/>
          <w:szCs w:val="28"/>
        </w:rPr>
        <w:t xml:space="preserve"> приобретено 108 новых автобусов для работы на муниципальных маршрутах регулярного сообщения.</w:t>
      </w:r>
    </w:p>
    <w:p w:rsidR="008709B5" w:rsidRPr="004227C1" w:rsidRDefault="00DF5B8C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81CC9" w:rsidRPr="004227C1">
        <w:rPr>
          <w:rFonts w:ascii="Times New Roman" w:hAnsi="Times New Roman" w:cs="Times New Roman"/>
          <w:sz w:val="28"/>
          <w:szCs w:val="28"/>
        </w:rPr>
        <w:t xml:space="preserve">о лизинговой схеме </w:t>
      </w:r>
      <w:r w:rsidR="0088567E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181CC9" w:rsidRPr="004227C1">
        <w:rPr>
          <w:rFonts w:ascii="Times New Roman" w:hAnsi="Times New Roman" w:cs="Times New Roman"/>
          <w:sz w:val="28"/>
          <w:szCs w:val="28"/>
        </w:rPr>
        <w:t>355 автобусов для обслуживания новой маршрутной сети в городе Сочи на олимпийский и постолимпийский период</w:t>
      </w:r>
      <w:r w:rsidR="004227C1" w:rsidRPr="004227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7C1" w:rsidRPr="004227C1" w:rsidRDefault="004227C1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>Данные автобусы оборудованы системой безналичной оплаты проезда на общественном транспорте и автоматического подсчета пассажиров.</w:t>
      </w:r>
    </w:p>
    <w:p w:rsidR="004227C1" w:rsidRPr="004227C1" w:rsidRDefault="004227C1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>Внедрение такой системы на всех автобусах, осуществляющих регулярные пассажирские перевозки на территории муниципального образования город-курорт Сочи, позволит:</w:t>
      </w:r>
    </w:p>
    <w:p w:rsidR="004227C1" w:rsidRPr="004227C1" w:rsidRDefault="004227C1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 xml:space="preserve">организовать автоматизированную систему оплаты проезда с применением платежных средств нового поколения (бесконтактных смарт-карт </w:t>
      </w:r>
      <w:proofErr w:type="spellStart"/>
      <w:r w:rsidRPr="004227C1">
        <w:rPr>
          <w:rFonts w:ascii="Times New Roman" w:hAnsi="Times New Roman" w:cs="Times New Roman"/>
          <w:sz w:val="28"/>
          <w:szCs w:val="28"/>
          <w:lang w:val="en-US"/>
        </w:rPr>
        <w:t>Mifare</w:t>
      </w:r>
      <w:proofErr w:type="spellEnd"/>
      <w:r w:rsidRPr="004227C1">
        <w:rPr>
          <w:rFonts w:ascii="Times New Roman" w:hAnsi="Times New Roman" w:cs="Times New Roman"/>
          <w:sz w:val="28"/>
          <w:szCs w:val="28"/>
        </w:rPr>
        <w:t xml:space="preserve"> </w:t>
      </w:r>
      <w:r w:rsidRPr="004227C1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4227C1">
        <w:rPr>
          <w:rFonts w:ascii="Times New Roman" w:hAnsi="Times New Roman" w:cs="Times New Roman"/>
          <w:sz w:val="28"/>
          <w:szCs w:val="28"/>
        </w:rPr>
        <w:t>) и формированием детализированной прозрачной отчетности, в том числе по различным категориям  пассажиров, включая категории гостей города Сочи и социальных пассажиров;</w:t>
      </w:r>
    </w:p>
    <w:p w:rsidR="004227C1" w:rsidRPr="004227C1" w:rsidRDefault="004227C1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>организовать автоматизированную систему мониторинга пассажиропотока, то есть автоматический сбор данных о количестве входящих и выходящих пассажиров по каждому остановочному пункту;</w:t>
      </w:r>
    </w:p>
    <w:p w:rsidR="004227C1" w:rsidRPr="004227C1" w:rsidRDefault="004227C1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 xml:space="preserve">организовать автоматическую систему контроля оплаты проезда на базе автоматических систем оплаты проезда, мониторинга пассажиропотока и информирования пассажиров, что позволяет реализовать </w:t>
      </w:r>
      <w:proofErr w:type="spellStart"/>
      <w:r w:rsidRPr="004227C1">
        <w:rPr>
          <w:rFonts w:ascii="Times New Roman" w:hAnsi="Times New Roman" w:cs="Times New Roman"/>
          <w:sz w:val="28"/>
          <w:szCs w:val="28"/>
        </w:rPr>
        <w:t>бескондукторную</w:t>
      </w:r>
      <w:proofErr w:type="spellEnd"/>
      <w:r w:rsidRPr="004227C1">
        <w:rPr>
          <w:rFonts w:ascii="Times New Roman" w:hAnsi="Times New Roman" w:cs="Times New Roman"/>
          <w:sz w:val="28"/>
          <w:szCs w:val="28"/>
        </w:rPr>
        <w:t xml:space="preserve"> схему оплаты проезда и передать информацию в режиме реального времени о количестве пассажиров, не оплативших проезд в ЦДС для службы контролеров. </w:t>
      </w:r>
    </w:p>
    <w:p w:rsidR="004227C1" w:rsidRPr="004227C1" w:rsidRDefault="004227C1" w:rsidP="004251CA">
      <w:pPr>
        <w:autoSpaceDE w:val="0"/>
        <w:autoSpaceDN w:val="0"/>
        <w:adjustRightInd w:val="0"/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C1">
        <w:rPr>
          <w:rFonts w:ascii="Times New Roman" w:hAnsi="Times New Roman" w:cs="Times New Roman"/>
          <w:sz w:val="28"/>
          <w:szCs w:val="28"/>
        </w:rPr>
        <w:t xml:space="preserve">Реализация указанного проекта обеспечит </w:t>
      </w:r>
      <w:r w:rsidRPr="004227C1">
        <w:rPr>
          <w:rFonts w:ascii="Times New Roman" w:hAnsi="Times New Roman" w:cs="Times New Roman"/>
          <w:color w:val="000000"/>
          <w:sz w:val="28"/>
          <w:szCs w:val="28"/>
        </w:rPr>
        <w:t>прирост суточной выручки за счет уменьшения количества безбилетников и контроля объема сданной выручки персоналом (на основе подсчета фактического количества перевезенных пассажиров и персональной ответственности служебного персонала); эффективное составление расписаний, графиков движения на маршрутах и распределения транспортных средств по маршрутам по данным автоматизированной системы мониторинга пассажиропотока; позволит сэкономить кадровые ресурсы, повысит лояльность существующих и привлечет дополнительных пассажиров.</w:t>
      </w:r>
    </w:p>
    <w:p w:rsidR="004227C1" w:rsidRPr="004227C1" w:rsidRDefault="004227C1" w:rsidP="004251CA">
      <w:pPr>
        <w:autoSpaceDE w:val="0"/>
        <w:autoSpaceDN w:val="0"/>
        <w:adjustRightInd w:val="0"/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C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перевозчиками в рамках простого товарищества принято решение о первом этапе внедрения </w:t>
      </w:r>
      <w:r w:rsidRPr="004227C1">
        <w:rPr>
          <w:rFonts w:ascii="Times New Roman" w:hAnsi="Times New Roman" w:cs="Times New Roman"/>
          <w:sz w:val="28"/>
          <w:szCs w:val="28"/>
        </w:rPr>
        <w:t>системы безналичной оплаты проезда на общественном транспорте и автоматического подсчета пассажиров муниципальными унитарными предприятиями города Сочи «Сочиавтотранс» и «Лазаревскоеавтотранс».</w:t>
      </w:r>
    </w:p>
    <w:p w:rsidR="00945B28" w:rsidRDefault="00945B2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решить основные проблемы в сфере общественных пассажирских перевозок:</w:t>
      </w:r>
    </w:p>
    <w:p w:rsidR="00945B28" w:rsidRDefault="00945B2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динамичного и сбалансированного развития рынка транспортных услуг города Сочи;</w:t>
      </w:r>
    </w:p>
    <w:p w:rsidR="00945B28" w:rsidRDefault="00945B2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негативных последствий слабо контролируемого развития рынка транспортных услуг путем создания действенного механизма, позволяющего организатору перевозок – департаменту транспорта и связи администрации города Сочи осуществлять контроль и, при необходимости, в рамках действующего законодательства оказывать оперативное воздействие на процессы формирования и развития рынка транспортных услуг;</w:t>
      </w:r>
    </w:p>
    <w:p w:rsidR="00945B28" w:rsidRDefault="00945B2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предоставляемых транспортных услуг за счет внедрения передовых технологий;</w:t>
      </w:r>
    </w:p>
    <w:p w:rsidR="00945B28" w:rsidRDefault="00945B2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 повышение безопасности дорожного движения.</w:t>
      </w:r>
    </w:p>
    <w:p w:rsidR="00945B28" w:rsidRDefault="00AB1AFF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факторов, способных оказать существенное влияние на развитие пассажирского автомобильного транспорта муниципального образования город-курорт Сочи на предстоящие шесть лет, целесообразно сосредоточить внимание на реализации следующих направлений:</w:t>
      </w:r>
    </w:p>
    <w:p w:rsidR="00AB1AFF" w:rsidRDefault="00AB1AFF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работы транспорта путем внедрения новых технологий;</w:t>
      </w:r>
    </w:p>
    <w:p w:rsidR="00263936" w:rsidRDefault="00AB1AFF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планирования перевозок на основе достоверного и постоянного мониторинга и постоянного мониторинга пассажирского потока с помощью </w:t>
      </w:r>
      <w:r w:rsidRPr="004227C1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</w:t>
      </w:r>
      <w:r w:rsidRPr="004227C1">
        <w:rPr>
          <w:rFonts w:ascii="Times New Roman" w:hAnsi="Times New Roman" w:cs="Times New Roman"/>
          <w:sz w:val="28"/>
          <w:szCs w:val="28"/>
        </w:rPr>
        <w:t>системы безналичной оплаты проезда на общественном транспорте и автоматического подсчета 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AFF" w:rsidRDefault="00532485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AFF">
        <w:rPr>
          <w:rFonts w:ascii="Times New Roman" w:hAnsi="Times New Roman" w:cs="Times New Roman"/>
          <w:sz w:val="28"/>
          <w:szCs w:val="28"/>
        </w:rPr>
        <w:t>овышения доходности от перевозок пассажиров при внедрении безналичного расчета за проезд всеми категориями населения.</w:t>
      </w:r>
    </w:p>
    <w:p w:rsidR="00532485" w:rsidRDefault="00532485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неблагоприятно влияющим на реализацию Программы, можно отнести:</w:t>
      </w:r>
    </w:p>
    <w:p w:rsidR="00532485" w:rsidRDefault="002D1F1B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несовершенство нормативно-правовой базы в сфере финансово-хозяйственной деятельности автотранспортных предпри</w:t>
      </w:r>
      <w:r w:rsidR="0022391D">
        <w:rPr>
          <w:rFonts w:ascii="Times New Roman" w:hAnsi="Times New Roman" w:cs="Times New Roman"/>
          <w:sz w:val="28"/>
          <w:szCs w:val="28"/>
        </w:rPr>
        <w:t>ятий, осуществляющих общественные пассажирские перевозки автомобильным транспортом на муниципальном уровне;</w:t>
      </w:r>
    </w:p>
    <w:p w:rsidR="0022391D" w:rsidRDefault="00BE4A8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91D">
        <w:rPr>
          <w:rFonts w:ascii="Times New Roman" w:hAnsi="Times New Roman" w:cs="Times New Roman"/>
          <w:sz w:val="28"/>
          <w:szCs w:val="28"/>
        </w:rPr>
        <w:t>тсутствие утвержденного Объединенного операционного транспортного плана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Кубка Конфедераций по футболу 2017 года и чемпионата мира ФИФА по футболу 2018 года.</w:t>
      </w:r>
    </w:p>
    <w:p w:rsidR="00BE4A88" w:rsidRDefault="00BE4A8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развитие города Сочи как круглогодичного курорта будет способствовать постоянному росту пассажирских перевозок и развитию транспортной инфраструктуры города Сочи.</w:t>
      </w:r>
    </w:p>
    <w:p w:rsidR="00BE4A88" w:rsidRPr="004227C1" w:rsidRDefault="00BE4A88" w:rsidP="004251CA">
      <w:pPr>
        <w:spacing w:after="0" w:line="240" w:lineRule="auto"/>
        <w:ind w:right="56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</w:t>
      </w:r>
      <w:r w:rsidR="00EA62A3">
        <w:rPr>
          <w:rFonts w:ascii="Times New Roman" w:hAnsi="Times New Roman" w:cs="Times New Roman"/>
          <w:sz w:val="28"/>
          <w:szCs w:val="28"/>
        </w:rPr>
        <w:t xml:space="preserve"> существенно повысить уровень организации и безопасности перевозок населения.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Применение программно-целевого метода обеспечивает единство содержательной части муниципальной программы с созданием и использованием финансовых и организационных механизмов ее реализации, контролем за промежуточными и конечными результатами выполнения муниципальной программы, комплексный подход в решении поставленных задач.</w:t>
      </w:r>
    </w:p>
    <w:p w:rsidR="00A06F4E" w:rsidRPr="0088567E" w:rsidRDefault="00A06F4E" w:rsidP="004251CA">
      <w:pPr>
        <w:suppressAutoHyphens/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проблемы делают решение поставленных задач невозможным без объединения их в рамках муниципальной Программы. Использование программно-целевого метода направлено на создание условий эффективного управления ресурсами, в том числе финансовыми. 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Однако применение программно-целевого метода влечет за собой определенные риски,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муниципальной программы;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которого, в большей степени, определяются внешними факторами: </w:t>
      </w:r>
      <w:proofErr w:type="spellStart"/>
      <w:r w:rsidRPr="0088567E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88567E">
        <w:rPr>
          <w:rFonts w:ascii="Times New Roman" w:hAnsi="Times New Roman" w:cs="Times New Roman"/>
          <w:sz w:val="28"/>
          <w:szCs w:val="28"/>
        </w:rPr>
        <w:t xml:space="preserve"> (выпадение) доходов бюджета города Сочи, увеличение непредвиденных расходов бюджета  города Сочи, что приводит к пересмотру финансирования ранее принятых расходных обязательств.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88567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8567E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муниципальной программы.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7E">
        <w:rPr>
          <w:rFonts w:ascii="Times New Roman" w:eastAsia="Calibri" w:hAnsi="Times New Roman" w:cs="Times New Roman"/>
          <w:sz w:val="28"/>
          <w:szCs w:val="28"/>
        </w:rPr>
        <w:t>соблюдение принципа эффективности использования бюджетных средств;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 xml:space="preserve">составление и исполнение ежемесячного графика </w:t>
      </w:r>
      <w:proofErr w:type="gramStart"/>
      <w:r w:rsidRPr="0088567E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88567E">
        <w:rPr>
          <w:rFonts w:ascii="Times New Roman" w:hAnsi="Times New Roman" w:cs="Times New Roman"/>
          <w:sz w:val="28"/>
          <w:szCs w:val="28"/>
        </w:rPr>
        <w:t xml:space="preserve"> и своевременное использование средств при реализации мероприятий муниципальной программы;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привлечение дополнительных средств, в том числе из краевого бюджета и внебюджетных источников финансирования;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 Российской Федерации.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В первую очередь данный риск может оказать влияние изменение условий реализации мероприятий муниципальной программы.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lastRenderedPageBreak/>
        <w:t>Снижение вероятности и минимизация последствий наступления рисков, связанных с изменением бюджетного законодательства Российской Федерации, осуществляется при помощи следующих мер: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регулярный мониторинг изменений бюджетного законодательства Российской Федерации;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бюджетного законодательства Российской Федерации.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К организационным рискам реализации муниципальной программы можно отнести несогласованность и отсутствие должной координации действий участников муниципальной программы. Данный риск может повлечь за собой невыполнение цели и задач, снижение эффективности использования ресурсов и качества выполнения мероприятий муниципальной программы.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следующих мер: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составление детальных планов-графиков реализации мероприятий муниципальной программы, осуществление последующего мониторинга их выполнения;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856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67E">
        <w:rPr>
          <w:rFonts w:ascii="Times New Roman" w:hAnsi="Times New Roman" w:cs="Times New Roman"/>
          <w:sz w:val="28"/>
          <w:szCs w:val="28"/>
        </w:rPr>
        <w:t xml:space="preserve"> координацией действий участников муниципальной программы;</w:t>
      </w:r>
    </w:p>
    <w:p w:rsidR="00A06F4E" w:rsidRPr="0088567E" w:rsidRDefault="00A06F4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E">
        <w:rPr>
          <w:rFonts w:ascii="Times New Roman" w:hAnsi="Times New Roman" w:cs="Times New Roman"/>
          <w:sz w:val="28"/>
          <w:szCs w:val="28"/>
        </w:rPr>
        <w:t>заблаговременное составление плана государственных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– замена исполнителей работ (услуг).</w:t>
      </w:r>
    </w:p>
    <w:p w:rsidR="00A06F4E" w:rsidRPr="00CE3BC1" w:rsidRDefault="00A06F4E" w:rsidP="004251CA">
      <w:pPr>
        <w:spacing w:after="0" w:line="240" w:lineRule="auto"/>
        <w:ind w:right="566" w:firstLine="709"/>
        <w:contextualSpacing/>
        <w:jc w:val="both"/>
        <w:rPr>
          <w:rStyle w:val="FontStyle12"/>
        </w:rPr>
      </w:pPr>
      <w:r w:rsidRPr="0088567E">
        <w:rPr>
          <w:rFonts w:ascii="Times New Roman" w:hAnsi="Times New Roman" w:cs="Times New Roman"/>
          <w:sz w:val="28"/>
          <w:szCs w:val="28"/>
        </w:rPr>
        <w:t>Учитывая, что муниципальной программой предусмотрено формирование системы текущего и оперативного управления, контроля и мониторинга достижения целевых показателей, риск наступления негативных последствий от реализации муниципальной программы будет минимален.</w:t>
      </w:r>
    </w:p>
    <w:p w:rsidR="00760A69" w:rsidRPr="004227C1" w:rsidRDefault="00760A69" w:rsidP="004251CA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A69" w:rsidRDefault="00760A69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60A69" w:rsidRDefault="00760A69" w:rsidP="007A28BD">
      <w:pPr>
        <w:spacing w:after="0" w:line="240" w:lineRule="auto"/>
        <w:ind w:right="566" w:firstLine="709"/>
        <w:rPr>
          <w:rFonts w:ascii="Times New Roman" w:hAnsi="Times New Roman" w:cs="Times New Roman"/>
          <w:b/>
          <w:sz w:val="28"/>
          <w:szCs w:val="28"/>
        </w:rPr>
      </w:pPr>
      <w:r w:rsidRPr="00760A69">
        <w:rPr>
          <w:rFonts w:ascii="Times New Roman" w:hAnsi="Times New Roman" w:cs="Times New Roman"/>
          <w:b/>
          <w:sz w:val="28"/>
          <w:szCs w:val="28"/>
        </w:rPr>
        <w:t xml:space="preserve">Раздел 2. Цели задачи и целевые показатели, сроки и </w:t>
      </w:r>
      <w:r>
        <w:rPr>
          <w:rFonts w:ascii="Times New Roman" w:hAnsi="Times New Roman" w:cs="Times New Roman"/>
          <w:b/>
          <w:sz w:val="28"/>
          <w:szCs w:val="28"/>
        </w:rPr>
        <w:t>этапы реализации муниципальной П</w:t>
      </w:r>
      <w:r w:rsidR="00B27FE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60A69" w:rsidRDefault="00760A69" w:rsidP="004251CA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69" w:rsidRDefault="00760A69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69">
        <w:rPr>
          <w:rFonts w:ascii="Times New Roman" w:hAnsi="Times New Roman" w:cs="Times New Roman"/>
          <w:sz w:val="28"/>
          <w:szCs w:val="28"/>
        </w:rPr>
        <w:t>Цел</w:t>
      </w:r>
      <w:r w:rsidR="00404F74">
        <w:rPr>
          <w:rFonts w:ascii="Times New Roman" w:hAnsi="Times New Roman" w:cs="Times New Roman"/>
          <w:sz w:val="28"/>
          <w:szCs w:val="28"/>
        </w:rPr>
        <w:t>ью</w:t>
      </w:r>
      <w:r w:rsidRPr="00760A69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404F74">
        <w:rPr>
          <w:rFonts w:ascii="Times New Roman" w:hAnsi="Times New Roman" w:cs="Times New Roman"/>
          <w:sz w:val="28"/>
          <w:szCs w:val="28"/>
        </w:rPr>
        <w:t>е</w:t>
      </w:r>
      <w:r w:rsidRPr="00760A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A69" w:rsidRDefault="00760A69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и безопасного функционирования пассажирского транспорта, направленного на удовлетворение потребности всех слоев населения в транспортных услугах;</w:t>
      </w:r>
    </w:p>
    <w:p w:rsidR="00760A69" w:rsidRDefault="00760A69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404F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404F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 </w:t>
      </w:r>
    </w:p>
    <w:p w:rsidR="00C4123E" w:rsidRPr="00C4123E" w:rsidRDefault="00C4123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23E">
        <w:rPr>
          <w:rFonts w:ascii="Times New Roman" w:hAnsi="Times New Roman" w:cs="Times New Roman"/>
          <w:sz w:val="28"/>
          <w:szCs w:val="28"/>
        </w:rPr>
        <w:lastRenderedPageBreak/>
        <w:t>- оказание финансовой поддержки предприятиям транспорта, выполняющим социально значимые перевозки в городе Сочи.</w:t>
      </w:r>
    </w:p>
    <w:p w:rsidR="00C4123E" w:rsidRPr="00C4123E" w:rsidRDefault="00C4123E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23E">
        <w:rPr>
          <w:rFonts w:ascii="Times New Roman" w:hAnsi="Times New Roman" w:cs="Times New Roman"/>
          <w:sz w:val="28"/>
          <w:szCs w:val="28"/>
        </w:rPr>
        <w:t>- повышение эффективности работы городского транспорта общего пользования и устойчивости функционирования транспортной инфраструктуры.</w:t>
      </w:r>
    </w:p>
    <w:p w:rsidR="00C357B6" w:rsidRDefault="00395B43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целевых показателях Программы представлены в приложении №1 к настоящей </w:t>
      </w:r>
      <w:r w:rsidR="00CE3B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57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D45D03" w:rsidRDefault="00D45D03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значений целевых показателей Программы осуществляет по следующей методике.</w:t>
      </w:r>
    </w:p>
    <w:p w:rsidR="00D45D03" w:rsidRDefault="00D45D03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населения, проживающих в населенных пунктах, не имеющих регулярного автобусного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рассчитывается по формуле:</w:t>
      </w:r>
      <w:proofErr w:type="gramEnd"/>
    </w:p>
    <w:p w:rsidR="00815DA4" w:rsidRDefault="00815DA4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FF" w:rsidRDefault="00815DA4" w:rsidP="004251CA">
      <w:pPr>
        <w:spacing w:after="0" w:line="240" w:lineRule="auto"/>
        <w:ind w:right="566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ДН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ЛБАО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ОЧ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100%,</w:t>
      </w:r>
      <w:r w:rsidR="009C01FF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15DA4" w:rsidRPr="009C01FF" w:rsidRDefault="0073776C" w:rsidP="004251CA">
      <w:pPr>
        <w:spacing w:after="0" w:line="240" w:lineRule="auto"/>
        <w:ind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ДН – доля населения</w:t>
      </w:r>
      <w:r w:rsidR="00815DA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C01FF">
        <w:rPr>
          <w:rFonts w:ascii="Times New Roman" w:hAnsi="Times New Roman" w:cs="Times New Roman"/>
          <w:sz w:val="28"/>
          <w:szCs w:val="28"/>
        </w:rPr>
        <w:t>проживающих в населенных пунктах, не имеющих регулярного автобусного сообщения с административным центром городского округа (муниципального района);</w:t>
      </w:r>
      <w:proofErr w:type="gramEnd"/>
    </w:p>
    <w:p w:rsidR="009C01FF" w:rsidRDefault="00395B43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01FF">
        <w:rPr>
          <w:rFonts w:ascii="Times New Roman" w:hAnsi="Times New Roman" w:cs="Times New Roman"/>
          <w:sz w:val="28"/>
          <w:szCs w:val="28"/>
        </w:rPr>
        <w:t>БАО – число лиц, проживающих в населенных пунктах, не имеющих регулярного автобусного сообщения с административным центром городского округа (муниципального района);</w:t>
      </w:r>
    </w:p>
    <w:p w:rsidR="009C01FF" w:rsidRDefault="009C01FF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 – общ</w:t>
      </w:r>
      <w:r w:rsidR="00A93E7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A93E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(муниципального района)</w:t>
      </w:r>
      <w:r w:rsidR="00A940BF">
        <w:rPr>
          <w:rFonts w:ascii="Times New Roman" w:hAnsi="Times New Roman" w:cs="Times New Roman"/>
          <w:sz w:val="28"/>
          <w:szCs w:val="28"/>
        </w:rPr>
        <w:t>.</w:t>
      </w:r>
    </w:p>
    <w:p w:rsidR="0073776C" w:rsidRDefault="0073776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6C">
        <w:rPr>
          <w:rFonts w:ascii="Times New Roman" w:hAnsi="Times New Roman" w:cs="Times New Roman"/>
          <w:sz w:val="28"/>
          <w:szCs w:val="28"/>
        </w:rPr>
        <w:t>Доля населения города Сочи регулярно пользующегося городским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73776C" w:rsidRDefault="0073776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6C" w:rsidRDefault="0073776C" w:rsidP="004251CA">
      <w:pPr>
        <w:spacing w:after="0" w:line="240" w:lineRule="auto"/>
        <w:ind w:right="566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ДН1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ЛПОТ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ОЧ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100%, где </w:t>
      </w:r>
    </w:p>
    <w:p w:rsidR="0073776C" w:rsidRPr="009C01FF" w:rsidRDefault="0073776C" w:rsidP="004251CA">
      <w:pPr>
        <w:spacing w:after="0" w:line="240" w:lineRule="auto"/>
        <w:ind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ДН</w:t>
      </w:r>
      <w:proofErr w:type="gramStart"/>
      <w:r w:rsidR="00A93E7C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доля </w:t>
      </w:r>
      <w:r w:rsidR="00A93E7C">
        <w:rPr>
          <w:rFonts w:ascii="Times New Roman" w:eastAsiaTheme="minorEastAsia" w:hAnsi="Times New Roman" w:cs="Times New Roman"/>
          <w:sz w:val="28"/>
          <w:szCs w:val="28"/>
        </w:rPr>
        <w:t>населения</w:t>
      </w:r>
      <w:r w:rsidR="00A93E7C" w:rsidRPr="00A93E7C">
        <w:rPr>
          <w:rFonts w:ascii="Times New Roman" w:hAnsi="Times New Roman" w:cs="Times New Roman"/>
          <w:sz w:val="28"/>
          <w:szCs w:val="28"/>
        </w:rPr>
        <w:t xml:space="preserve"> </w:t>
      </w:r>
      <w:r w:rsidR="00A93E7C" w:rsidRPr="0073776C">
        <w:rPr>
          <w:rFonts w:ascii="Times New Roman" w:hAnsi="Times New Roman" w:cs="Times New Roman"/>
          <w:sz w:val="28"/>
          <w:szCs w:val="28"/>
        </w:rPr>
        <w:t>города Сочи регулярно пользующегося городским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76C" w:rsidRDefault="0073776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3E7C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 xml:space="preserve"> – число лиц, </w:t>
      </w:r>
      <w:r w:rsidR="00A93E7C">
        <w:rPr>
          <w:rFonts w:ascii="Times New Roman" w:hAnsi="Times New Roman" w:cs="Times New Roman"/>
          <w:sz w:val="28"/>
          <w:szCs w:val="28"/>
        </w:rPr>
        <w:t>проживающих в городе Сочи регулярно пользующегося городским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76C" w:rsidRDefault="0073776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 – общ</w:t>
      </w:r>
      <w:r w:rsidR="00A93E7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A93E7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93E7C"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7C" w:rsidRDefault="00A93E7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6C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3E7C">
        <w:rPr>
          <w:rFonts w:ascii="Times New Roman" w:hAnsi="Times New Roman" w:cs="Times New Roman"/>
          <w:sz w:val="28"/>
          <w:szCs w:val="28"/>
        </w:rPr>
        <w:t>одителей автотранспортных предприятий города Сочи, снабженных форменной одеждой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A93E7C" w:rsidRDefault="00A93E7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7C" w:rsidRDefault="00A93E7C" w:rsidP="004251CA">
      <w:pPr>
        <w:spacing w:after="0" w:line="240" w:lineRule="auto"/>
        <w:ind w:right="566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ДВ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ВСФО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ОЧВ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100%, где </w:t>
      </w:r>
    </w:p>
    <w:p w:rsidR="00A93E7C" w:rsidRPr="009C01FF" w:rsidRDefault="00A93E7C" w:rsidP="004251CA">
      <w:pPr>
        <w:spacing w:after="0" w:line="240" w:lineRule="auto"/>
        <w:ind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 – доля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3E7C">
        <w:rPr>
          <w:rFonts w:ascii="Times New Roman" w:hAnsi="Times New Roman" w:cs="Times New Roman"/>
          <w:sz w:val="28"/>
          <w:szCs w:val="28"/>
        </w:rPr>
        <w:t>одителей автотранспортных предприятий города Сочи, снабженных форменной одеждой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E7C" w:rsidRDefault="00A93E7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ВСФО – водители автотранспортных предприятий города Сочи, снабженные форменной одеждой;</w:t>
      </w:r>
    </w:p>
    <w:p w:rsidR="0073776C" w:rsidRDefault="00A93E7C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 – общая численность водителей автотранспортных предприятий города Сочи.</w:t>
      </w:r>
    </w:p>
    <w:p w:rsidR="00A940BF" w:rsidRDefault="00A940BF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Программы: 2016 – 2021 годы.</w:t>
      </w:r>
    </w:p>
    <w:p w:rsidR="00B230A2" w:rsidRPr="00182EC6" w:rsidRDefault="00A940BF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этапов реализации Программы не предусмотрено.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6C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автобусов, обслуживающих маршрутную сеть города Сочи, оборудованных системой ГЛОНАСС</w:t>
      </w:r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BA" w:rsidRDefault="006E35BA" w:rsidP="006E35BA">
      <w:pPr>
        <w:spacing w:after="0" w:line="240" w:lineRule="auto"/>
        <w:ind w:right="566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ДА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АО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АВ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100%, где 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 – д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оля автобусов, обслуживающих маршрутную сеть города Сочи, оборудованных системой ГЛОНАСС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– автобусы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, обслуживающи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 xml:space="preserve"> маршрутную сеть города Сочи, оборудованны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 xml:space="preserve"> системой ГЛОНАСС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– количество автобусов, 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обслуживающих маршрутную сеть 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BA">
        <w:rPr>
          <w:rFonts w:ascii="Times New Roman" w:hAnsi="Times New Roman" w:cs="Times New Roman"/>
          <w:sz w:val="28"/>
          <w:szCs w:val="28"/>
        </w:rPr>
        <w:t xml:space="preserve">Доля автобусов, обслуживающих маршрутную сеть города Сочи, оборудованных в соответствии с требованиями Федерального закона от 09.02.2007 №16-ФЗ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5BA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>», рассчитывается по формуле: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BA" w:rsidRDefault="006E35BA" w:rsidP="006E35BA">
      <w:pPr>
        <w:spacing w:after="0" w:line="240" w:lineRule="auto"/>
        <w:ind w:right="566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ДА1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АО1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АВ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* 100%, где 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д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 xml:space="preserve">оля </w:t>
      </w:r>
      <w:r w:rsidRPr="006E35BA">
        <w:rPr>
          <w:rFonts w:ascii="Times New Roman" w:hAnsi="Times New Roman" w:cs="Times New Roman"/>
          <w:sz w:val="28"/>
          <w:szCs w:val="28"/>
        </w:rPr>
        <w:t xml:space="preserve">автобусов, обслуживающих маршрутную сеть города Сочи, оборудованных в соответствии с требованиями Федерального закона от 09.02.2007 №16-ФЗ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5BA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>», рассчитывается по формуле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– автобусы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, обслуживающи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 xml:space="preserve"> маршрутную сеть города Сочи, оборудованны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E35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09.02.2007 №16-ФЗ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5BA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>», рассчитывается по формуле;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 – количество автобусов, </w:t>
      </w:r>
      <w:r w:rsidRPr="006E35BA">
        <w:rPr>
          <w:rFonts w:ascii="Times New Roman" w:eastAsiaTheme="minorEastAsia" w:hAnsi="Times New Roman" w:cs="Times New Roman"/>
          <w:sz w:val="28"/>
          <w:szCs w:val="28"/>
        </w:rPr>
        <w:t>обслуживающих маршрутную сеть 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2016 – 2021 годы.</w:t>
      </w:r>
    </w:p>
    <w:p w:rsidR="006E35BA" w:rsidRDefault="006E35BA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этапов реализации Программы не предусмотрено.</w:t>
      </w:r>
    </w:p>
    <w:p w:rsidR="00330DC8" w:rsidRDefault="00330DC8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C8" w:rsidRPr="006E35BA" w:rsidRDefault="00330DC8" w:rsidP="006E35B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4B" w:rsidRDefault="0016074B" w:rsidP="007A28BD">
      <w:pPr>
        <w:spacing w:after="0" w:line="240" w:lineRule="auto"/>
        <w:ind w:right="566" w:firstLine="709"/>
        <w:rPr>
          <w:rFonts w:ascii="Times New Roman" w:hAnsi="Times New Roman" w:cs="Times New Roman"/>
          <w:b/>
          <w:sz w:val="28"/>
          <w:szCs w:val="28"/>
        </w:rPr>
      </w:pPr>
      <w:r w:rsidRPr="00882F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82F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82F33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и ведомственных целевых программ и основных меропр</w:t>
      </w:r>
      <w:r w:rsidR="00882F33">
        <w:rPr>
          <w:rFonts w:ascii="Times New Roman" w:hAnsi="Times New Roman" w:cs="Times New Roman"/>
          <w:b/>
          <w:sz w:val="28"/>
          <w:szCs w:val="28"/>
        </w:rPr>
        <w:t>иятий муниципальной программы</w:t>
      </w:r>
    </w:p>
    <w:p w:rsidR="0076433E" w:rsidRDefault="0076433E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82F33" w:rsidRPr="0076433E" w:rsidRDefault="0076433E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3E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не предусмотрены Программой.</w:t>
      </w:r>
    </w:p>
    <w:p w:rsidR="00882F33" w:rsidRDefault="0076433E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приложении №</w:t>
      </w:r>
      <w:r w:rsidR="00661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882F33" w:rsidRPr="00882F33">
        <w:rPr>
          <w:rFonts w:ascii="Times New Roman" w:hAnsi="Times New Roman" w:cs="Times New Roman"/>
          <w:sz w:val="28"/>
          <w:szCs w:val="28"/>
        </w:rPr>
        <w:t>.</w:t>
      </w:r>
    </w:p>
    <w:p w:rsidR="0076433E" w:rsidRDefault="0076433E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62" w:rsidRDefault="005D0A62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4B" w:rsidRDefault="0016074B" w:rsidP="007A28BD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6114FA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33413A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6114FA">
        <w:rPr>
          <w:rFonts w:ascii="Times New Roman" w:hAnsi="Times New Roman" w:cs="Times New Roman"/>
          <w:b/>
          <w:sz w:val="28"/>
          <w:szCs w:val="28"/>
        </w:rPr>
        <w:t>Обоснование ресурсного обес</w:t>
      </w:r>
      <w:r w:rsidR="0033413A">
        <w:rPr>
          <w:rFonts w:ascii="Times New Roman" w:hAnsi="Times New Roman" w:cs="Times New Roman"/>
          <w:b/>
          <w:sz w:val="28"/>
          <w:szCs w:val="28"/>
        </w:rPr>
        <w:t>печения муниципальной программы</w:t>
      </w:r>
    </w:p>
    <w:p w:rsidR="004251CA" w:rsidRDefault="004251CA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Реализация муниципальной программы предусматривается за счет средств бюджета города Сочи с привлечением средств из внебюджетных источников.</w:t>
      </w:r>
    </w:p>
    <w:p w:rsidR="004251CA" w:rsidRDefault="004251CA" w:rsidP="004251C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13">
        <w:rPr>
          <w:rFonts w:ascii="Times New Roman" w:hAnsi="Times New Roman" w:cs="Times New Roman"/>
          <w:sz w:val="28"/>
          <w:szCs w:val="28"/>
        </w:rPr>
        <w:t>Объемы ассигнований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2A1E13">
        <w:rPr>
          <w:rFonts w:ascii="Times New Roman" w:hAnsi="Times New Roman" w:cs="Times New Roman"/>
          <w:sz w:val="28"/>
          <w:szCs w:val="28"/>
        </w:rPr>
        <w:t>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13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подлежат уточнению при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1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решение Городского Собрания Сочи о</w:t>
      </w:r>
      <w:r w:rsidRPr="002A1E13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Сочи.</w:t>
      </w:r>
    </w:p>
    <w:p w:rsidR="004251CA" w:rsidRDefault="004251CA" w:rsidP="004251C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в разрезе подпрограмм и источников финансирования приведены в Таблице.</w:t>
      </w:r>
    </w:p>
    <w:p w:rsidR="00745584" w:rsidRDefault="00745584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BF" w:rsidRDefault="00FD1EBF" w:rsidP="004251C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1370"/>
        <w:gridCol w:w="1560"/>
        <w:gridCol w:w="1457"/>
        <w:gridCol w:w="1646"/>
        <w:gridCol w:w="1470"/>
      </w:tblGrid>
      <w:tr w:rsidR="006114FA" w:rsidRPr="006114FA" w:rsidTr="004251CA">
        <w:trPr>
          <w:tblHeader/>
          <w:jc w:val="center"/>
        </w:trPr>
        <w:tc>
          <w:tcPr>
            <w:tcW w:w="1675" w:type="dxa"/>
            <w:vMerge w:val="restart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</w:t>
            </w:r>
          </w:p>
        </w:tc>
        <w:tc>
          <w:tcPr>
            <w:tcW w:w="7503" w:type="dxa"/>
            <w:gridSpan w:val="5"/>
          </w:tcPr>
          <w:p w:rsidR="006114FA" w:rsidRPr="006114FA" w:rsidRDefault="006114FA" w:rsidP="004251CA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</w:tr>
      <w:tr w:rsidR="006114FA" w:rsidRPr="006114FA" w:rsidTr="004251CA">
        <w:trPr>
          <w:tblHeader/>
          <w:jc w:val="center"/>
        </w:trPr>
        <w:tc>
          <w:tcPr>
            <w:tcW w:w="1675" w:type="dxa"/>
            <w:vMerge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6114FA" w:rsidRPr="006114FA" w:rsidRDefault="006114FA" w:rsidP="008C58E9">
            <w:pPr>
              <w:ind w:righ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33" w:type="dxa"/>
            <w:gridSpan w:val="4"/>
          </w:tcPr>
          <w:p w:rsidR="006114FA" w:rsidRPr="006114FA" w:rsidRDefault="006114FA" w:rsidP="004251CA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114FA" w:rsidRPr="006114FA" w:rsidTr="004251CA">
        <w:trPr>
          <w:tblHeader/>
          <w:jc w:val="center"/>
        </w:trPr>
        <w:tc>
          <w:tcPr>
            <w:tcW w:w="1675" w:type="dxa"/>
            <w:vMerge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4FA" w:rsidRPr="006114FA" w:rsidRDefault="006114FA" w:rsidP="008C58E9">
            <w:pPr>
              <w:ind w:left="-122"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57" w:type="dxa"/>
          </w:tcPr>
          <w:p w:rsidR="006114FA" w:rsidRPr="006114FA" w:rsidRDefault="006114FA" w:rsidP="008C58E9">
            <w:pPr>
              <w:ind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646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Сочи</w:t>
            </w:r>
          </w:p>
        </w:tc>
        <w:tc>
          <w:tcPr>
            <w:tcW w:w="1470" w:type="dxa"/>
          </w:tcPr>
          <w:p w:rsidR="006114FA" w:rsidRPr="006114FA" w:rsidRDefault="006114FA" w:rsidP="008C58E9">
            <w:pPr>
              <w:tabs>
                <w:tab w:val="left" w:pos="1310"/>
              </w:tabs>
              <w:ind w:left="-108"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F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6114FA" w:rsidRPr="006114FA" w:rsidTr="004251CA">
        <w:trPr>
          <w:jc w:val="center"/>
        </w:trPr>
        <w:tc>
          <w:tcPr>
            <w:tcW w:w="1675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6114FA" w:rsidRPr="006114FA" w:rsidRDefault="006114FA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5B43" w:rsidRPr="006114FA" w:rsidTr="004251CA">
        <w:trPr>
          <w:jc w:val="center"/>
        </w:trPr>
        <w:tc>
          <w:tcPr>
            <w:tcW w:w="9178" w:type="dxa"/>
            <w:gridSpan w:val="6"/>
          </w:tcPr>
          <w:p w:rsidR="00395B43" w:rsidRPr="00C357B6" w:rsidRDefault="00364C7C" w:rsidP="004251CA">
            <w:pPr>
              <w:ind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610 745,3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609 745,3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573 407,1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572 407,1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573 407,1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572 407,1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8C58E9">
            <w:pPr>
              <w:tabs>
                <w:tab w:val="left" w:pos="1106"/>
              </w:tabs>
              <w:ind w:right="-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2 783 481,2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2 777 481,2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395B43" w:rsidRPr="006114FA" w:rsidTr="004251CA">
        <w:trPr>
          <w:jc w:val="center"/>
        </w:trPr>
        <w:tc>
          <w:tcPr>
            <w:tcW w:w="9178" w:type="dxa"/>
            <w:gridSpan w:val="6"/>
          </w:tcPr>
          <w:p w:rsidR="00395B43" w:rsidRPr="00F552D8" w:rsidRDefault="00364C7C" w:rsidP="004251CA">
            <w:pPr>
              <w:ind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объем финансирования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610 745,3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609 745,3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573 407,1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572 407,1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573 407,1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572 407,1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341 973,9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340 973,9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552D8" w:rsidRPr="006114FA" w:rsidTr="004251CA">
        <w:trPr>
          <w:jc w:val="center"/>
        </w:trPr>
        <w:tc>
          <w:tcPr>
            <w:tcW w:w="1675" w:type="dxa"/>
          </w:tcPr>
          <w:p w:rsidR="00F552D8" w:rsidRDefault="00F552D8" w:rsidP="004251CA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2 783 481,2</w:t>
            </w:r>
          </w:p>
        </w:tc>
        <w:tc>
          <w:tcPr>
            <w:tcW w:w="156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2 777 481,2</w:t>
            </w:r>
          </w:p>
        </w:tc>
        <w:tc>
          <w:tcPr>
            <w:tcW w:w="1470" w:type="dxa"/>
            <w:vAlign w:val="bottom"/>
          </w:tcPr>
          <w:p w:rsidR="00F552D8" w:rsidRPr="00F552D8" w:rsidRDefault="00F552D8" w:rsidP="00E77E23">
            <w:pPr>
              <w:ind w:right="-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</w:tbl>
    <w:p w:rsidR="007A28BD" w:rsidRDefault="007A28BD" w:rsidP="007A28BD">
      <w:pPr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87F" w:rsidRDefault="00AD687F" w:rsidP="007A28BD">
      <w:pPr>
        <w:spacing w:after="0" w:line="240" w:lineRule="auto"/>
        <w:ind w:right="566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4FA">
        <w:rPr>
          <w:rFonts w:ascii="Times New Roman" w:hAnsi="Times New Roman" w:cs="Times New Roman"/>
          <w:b/>
          <w:sz w:val="28"/>
          <w:szCs w:val="28"/>
        </w:rPr>
        <w:t>Раздел</w:t>
      </w:r>
      <w:r w:rsidR="0033413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114FA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на оказание муниципальных услуг (выполнение работ) </w:t>
      </w:r>
      <w:proofErr w:type="gramStart"/>
      <w:r w:rsidRPr="006114FA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6114FA">
        <w:rPr>
          <w:rFonts w:ascii="Times New Roman" w:hAnsi="Times New Roman" w:cs="Times New Roman"/>
          <w:b/>
          <w:sz w:val="28"/>
          <w:szCs w:val="28"/>
        </w:rPr>
        <w:t xml:space="preserve"> учреждениям в сфере реализации муниципальной программы на очередной ф</w:t>
      </w:r>
      <w:r w:rsidR="0033413A">
        <w:rPr>
          <w:rFonts w:ascii="Times New Roman" w:hAnsi="Times New Roman" w:cs="Times New Roman"/>
          <w:b/>
          <w:sz w:val="28"/>
          <w:szCs w:val="28"/>
        </w:rPr>
        <w:t>инансовый год и плановый период</w:t>
      </w:r>
    </w:p>
    <w:p w:rsidR="00A34BDC" w:rsidRDefault="00A34BDC" w:rsidP="004251CA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F0" w:rsidRPr="007552F0" w:rsidRDefault="005D0A62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сфере транспортного обслуживания населения не предусмотрены.</w:t>
      </w:r>
    </w:p>
    <w:p w:rsidR="007552F0" w:rsidRDefault="007552F0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EBF" w:rsidRPr="00E77E23" w:rsidRDefault="00FD1EBF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2F0" w:rsidRPr="00E77E23" w:rsidRDefault="00AD687F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4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3E33A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7A7A4F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</w:t>
      </w:r>
      <w:r w:rsidR="00381F72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7552F0" w:rsidRPr="00E77E23" w:rsidRDefault="007552F0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F0" w:rsidRPr="007552F0" w:rsidRDefault="003E33A7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7A7A4F" w:rsidRPr="003E33A7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C1F0F" w:rsidRPr="003E33A7">
        <w:rPr>
          <w:rFonts w:ascii="Times New Roman" w:hAnsi="Times New Roman" w:cs="Times New Roman"/>
          <w:sz w:val="28"/>
          <w:szCs w:val="28"/>
        </w:rPr>
        <w:t xml:space="preserve"> реал</w:t>
      </w:r>
      <w:r w:rsidR="007A7A4F" w:rsidRPr="003E33A7">
        <w:rPr>
          <w:rFonts w:ascii="Times New Roman" w:hAnsi="Times New Roman" w:cs="Times New Roman"/>
          <w:sz w:val="28"/>
          <w:szCs w:val="28"/>
        </w:rPr>
        <w:t>и</w:t>
      </w:r>
      <w:r w:rsidR="00BC1F0F" w:rsidRPr="003E33A7">
        <w:rPr>
          <w:rFonts w:ascii="Times New Roman" w:hAnsi="Times New Roman" w:cs="Times New Roman"/>
          <w:sz w:val="28"/>
          <w:szCs w:val="28"/>
        </w:rPr>
        <w:t>з</w:t>
      </w:r>
      <w:r w:rsidR="007A7A4F" w:rsidRPr="003E33A7">
        <w:rPr>
          <w:rFonts w:ascii="Times New Roman" w:hAnsi="Times New Roman" w:cs="Times New Roman"/>
          <w:sz w:val="28"/>
          <w:szCs w:val="28"/>
        </w:rPr>
        <w:t>ац</w:t>
      </w:r>
      <w:r w:rsidR="00BC1F0F" w:rsidRPr="003E33A7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BC1F0F" w:rsidRPr="003E33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муниципальной программы, утвержденной </w:t>
      </w:r>
      <w:r w:rsidR="00BC1F0F" w:rsidRPr="003E33A7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 августа 2014 года №1515 «Об утверждении порядка принятия решения о разработки, формировании, реализации и оценке эффективности реализации муниципальных программ города Сочи</w:t>
      </w:r>
      <w:r w:rsidR="007552F0">
        <w:rPr>
          <w:rFonts w:ascii="Times New Roman" w:hAnsi="Times New Roman" w:cs="Times New Roman"/>
          <w:sz w:val="28"/>
          <w:szCs w:val="28"/>
        </w:rPr>
        <w:t>»</w:t>
      </w:r>
      <w:r w:rsidR="00BC1F0F" w:rsidRPr="003E33A7">
        <w:rPr>
          <w:rFonts w:ascii="Times New Roman" w:hAnsi="Times New Roman" w:cs="Times New Roman"/>
          <w:sz w:val="28"/>
          <w:szCs w:val="28"/>
        </w:rPr>
        <w:t>.</w:t>
      </w:r>
    </w:p>
    <w:p w:rsidR="007552F0" w:rsidRPr="007552F0" w:rsidRDefault="007552F0" w:rsidP="004251CA">
      <w:pPr>
        <w:spacing w:after="0" w:line="240" w:lineRule="auto"/>
        <w:ind w:right="56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EAD" w:rsidRPr="007A7EAD" w:rsidRDefault="007A7EAD" w:rsidP="007A28BD">
      <w:pPr>
        <w:spacing w:after="0" w:line="240" w:lineRule="auto"/>
        <w:ind w:right="566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7E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F7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7EAD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</w:t>
      </w:r>
      <w:r w:rsidR="007A7A4F">
        <w:rPr>
          <w:rFonts w:ascii="Times New Roman" w:hAnsi="Times New Roman" w:cs="Times New Roman"/>
          <w:b/>
          <w:sz w:val="28"/>
          <w:szCs w:val="28"/>
        </w:rPr>
        <w:t xml:space="preserve">ы и </w:t>
      </w:r>
      <w:proofErr w:type="gramStart"/>
      <w:r w:rsidR="007A7A4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A7A4F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47745E">
        <w:rPr>
          <w:rFonts w:ascii="Times New Roman" w:hAnsi="Times New Roman" w:cs="Times New Roman"/>
          <w:b/>
          <w:sz w:val="28"/>
          <w:szCs w:val="28"/>
        </w:rPr>
        <w:t>е</w:t>
      </w:r>
      <w:r w:rsidR="007A7A4F">
        <w:rPr>
          <w:rFonts w:ascii="Times New Roman" w:hAnsi="Times New Roman" w:cs="Times New Roman"/>
          <w:b/>
          <w:sz w:val="28"/>
          <w:szCs w:val="28"/>
        </w:rPr>
        <w:t xml:space="preserve"> выполнением</w:t>
      </w:r>
    </w:p>
    <w:p w:rsidR="007A7EAD" w:rsidRPr="00B230A2" w:rsidRDefault="007A7EAD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A69" w:rsidRDefault="00255F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Программы.</w:t>
      </w:r>
    </w:p>
    <w:p w:rsidR="00255F57" w:rsidRDefault="00255F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координатор, департамент транспорта и связи администрации города Сочи.</w:t>
      </w:r>
      <w:r w:rsidR="00BC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57" w:rsidRDefault="00255F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255F57" w:rsidRDefault="00255F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</w:t>
      </w:r>
      <w:r w:rsidR="00B22CF7">
        <w:rPr>
          <w:rFonts w:ascii="Times New Roman" w:hAnsi="Times New Roman" w:cs="Times New Roman"/>
          <w:sz w:val="28"/>
          <w:szCs w:val="28"/>
        </w:rPr>
        <w:t xml:space="preserve"> муниципальной программы, ее согласование с участниками Программы</w:t>
      </w:r>
      <w:r w:rsidR="00A72157">
        <w:rPr>
          <w:rFonts w:ascii="Times New Roman" w:hAnsi="Times New Roman" w:cs="Times New Roman"/>
          <w:sz w:val="28"/>
          <w:szCs w:val="28"/>
        </w:rPr>
        <w:t>;</w:t>
      </w:r>
    </w:p>
    <w:p w:rsidR="00255F57" w:rsidRDefault="00A721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структуру Программы и перечень участников Программы;</w:t>
      </w:r>
    </w:p>
    <w:p w:rsidR="00A72157" w:rsidRDefault="00A721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 деятельности участников Программы;</w:t>
      </w:r>
    </w:p>
    <w:p w:rsidR="00A72157" w:rsidRDefault="00A72157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Программы, устанавливает сроки их предоставления;</w:t>
      </w:r>
    </w:p>
    <w:p w:rsidR="00A72157" w:rsidRDefault="00DC22D8" w:rsidP="004251CA">
      <w:pPr>
        <w:spacing w:after="0" w:line="240" w:lineRule="auto"/>
        <w:ind w:right="56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реализации Программы и анализ отчетности, представляемой участниками Программы;</w:t>
      </w:r>
    </w:p>
    <w:p w:rsidR="00DC22D8" w:rsidRDefault="00DC22D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Программы;</w:t>
      </w:r>
    </w:p>
    <w:p w:rsidR="00DC22D8" w:rsidRDefault="00DC22D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Программы и оценке эффективности ее реализации;</w:t>
      </w:r>
    </w:p>
    <w:p w:rsidR="00DC22D8" w:rsidRDefault="00DC22D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DC22D8" w:rsidRDefault="00DC22D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не позднее 25 декабря текущего финансового года, утверждает согласованный участниками Программы план реализации Программы на очередной год и плановый период;</w:t>
      </w:r>
    </w:p>
    <w:p w:rsidR="00DC22D8" w:rsidRDefault="00970C0F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не позднее 31 декабря текущего финансового года, разрабатывает и утверждает согласованный с участниками Программы детальный план-график реализации Программы на очередной год и плановый период;</w:t>
      </w:r>
    </w:p>
    <w:p w:rsidR="00255F57" w:rsidRDefault="008B24F0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реализации Программы и детального плана-графика;</w:t>
      </w:r>
    </w:p>
    <w:p w:rsidR="008B24F0" w:rsidRDefault="008B24F0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после утверждения плана реализации Программы и детального плана-графика представляет их в департамент экономики и стратегического развития администрации города Сочи;</w:t>
      </w:r>
    </w:p>
    <w:p w:rsidR="008B24F0" w:rsidRDefault="008B24F0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план реализации Программы и детальный план-график уведомляет департамент экономики и стратегического развития администрации города Сочи в течение 3 рабочих дней после их корректировки;</w:t>
      </w:r>
    </w:p>
    <w:p w:rsidR="008B24F0" w:rsidRDefault="00F36D12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ежеквартально, до 20-го числа месяца, следующего за отчетным кварталов, представляет в департамент экономики и стратегического развития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заполненные формы мониторинга реализации муниципальной программы;</w:t>
      </w:r>
    </w:p>
    <w:p w:rsidR="00F36D12" w:rsidRDefault="00F36D12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реализации Программы на бумажных и электронных носителях;</w:t>
      </w:r>
    </w:p>
    <w:p w:rsidR="00C420FA" w:rsidRDefault="00C420FA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мероприятия Программы координатор Программы, участник Программы может выступать муниципальным заказчиком мероприятия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бюджета города Сочи).</w:t>
      </w:r>
    </w:p>
    <w:p w:rsidR="00C420FA" w:rsidRDefault="00C420FA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мероприятия:</w:t>
      </w:r>
    </w:p>
    <w:p w:rsidR="00C420FA" w:rsidRDefault="00704037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20FA">
        <w:rPr>
          <w:rFonts w:ascii="Times New Roman" w:hAnsi="Times New Roman" w:cs="Times New Roman"/>
          <w:sz w:val="28"/>
          <w:szCs w:val="28"/>
        </w:rPr>
        <w:t>аключает муниципальный контракт в установленном законодательством порядке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037" w:rsidRDefault="00704037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704037" w:rsidRDefault="00704037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04037" w:rsidRDefault="00704037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704037" w:rsidRDefault="00704037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мероприятия, а также осуществляет иные полномочия, установленные Программой;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полномочий, установленных законодательством Российской Федерации:</w:t>
      </w:r>
    </w:p>
    <w:p w:rsidR="00704037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субсидий в установленном порядке;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оценку эффективности использования субсидий в соответствии с утвержденным порядком предоставления субсидий;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75C08" w:rsidRDefault="00875C0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75C08" w:rsidRDefault="00A33DA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5C08">
        <w:rPr>
          <w:rFonts w:ascii="Times New Roman" w:hAnsi="Times New Roman" w:cs="Times New Roman"/>
          <w:sz w:val="28"/>
          <w:szCs w:val="28"/>
        </w:rPr>
        <w:t>беспечивает реализацию мероприятия и анализ его выполнения;</w:t>
      </w:r>
    </w:p>
    <w:p w:rsidR="00875C08" w:rsidRDefault="00A33DA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C08">
        <w:rPr>
          <w:rFonts w:ascii="Times New Roman" w:hAnsi="Times New Roman" w:cs="Times New Roman"/>
          <w:sz w:val="28"/>
          <w:szCs w:val="28"/>
        </w:rPr>
        <w:t>редставляет отчетность координатору Программы о результатах выполнения мероприятия;</w:t>
      </w:r>
    </w:p>
    <w:p w:rsidR="00875C08" w:rsidRDefault="00A33DA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5C08">
        <w:rPr>
          <w:rFonts w:ascii="Times New Roman" w:hAnsi="Times New Roman" w:cs="Times New Roman"/>
          <w:sz w:val="28"/>
          <w:szCs w:val="28"/>
        </w:rPr>
        <w:t>существляет иные полномочия, установленные Программой.</w:t>
      </w:r>
    </w:p>
    <w:p w:rsidR="00875C08" w:rsidRDefault="00F06B06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в срок до 3 числа, следующего за отчетным участники Программы направляют в адрес координатора Программы отчет о реализации мероприятий с пояснительной запиской о ходе выполнения программных мероприятий и эффективности использования финансовых средств.</w:t>
      </w:r>
    </w:p>
    <w:p w:rsidR="003F33D9" w:rsidRDefault="00CD23B8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субсидий осуществляются в соответствии с муниципальными правовыми актами администрации города </w:t>
      </w:r>
      <w:r w:rsidRPr="003F33D9">
        <w:rPr>
          <w:rFonts w:ascii="Times New Roman" w:hAnsi="Times New Roman" w:cs="Times New Roman"/>
          <w:sz w:val="28"/>
          <w:szCs w:val="28"/>
        </w:rPr>
        <w:t>Сочи</w:t>
      </w:r>
      <w:r w:rsidR="003F33D9">
        <w:rPr>
          <w:rFonts w:ascii="Times New Roman" w:hAnsi="Times New Roman" w:cs="Times New Roman"/>
          <w:sz w:val="28"/>
          <w:szCs w:val="28"/>
        </w:rPr>
        <w:t>:</w:t>
      </w:r>
    </w:p>
    <w:p w:rsidR="007A7EAD" w:rsidRPr="003F33D9" w:rsidRDefault="003F33D9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7C342F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Сочи от 6 июля 2009 года №</w:t>
      </w:r>
      <w:r w:rsidRPr="003F33D9">
        <w:rPr>
          <w:rFonts w:ascii="Times New Roman" w:hAnsi="Times New Roman" w:cs="Times New Roman"/>
          <w:sz w:val="28"/>
          <w:szCs w:val="28"/>
        </w:rPr>
        <w:t>221 «Об обеспечении проезда школьников, проживающих в сельской местности, в транспорте общего пользования на муниципальных пригородных маршрутах регулярного сообщения, функционирование которых обусловлено социальной необходимостью, и об утверждении Порядка предоставления субсидий на возмещение затрат от выполнения рейсов на муниципальных пригородных маршрутах, функционирование которых обусловлено социальной необходимостью»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33D9" w:rsidRPr="003F33D9" w:rsidRDefault="003F33D9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Сочи от 15 апреля 2015 года №1242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пассажиров».</w:t>
      </w:r>
    </w:p>
    <w:p w:rsidR="00A34BDC" w:rsidRDefault="00A34BDC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34BDC" w:rsidRDefault="00A34BDC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34BDC" w:rsidRDefault="00A34BDC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614BF" w:rsidRDefault="00A34BDC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14BF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6614BF" w:rsidRDefault="006614BF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связи</w:t>
      </w:r>
    </w:p>
    <w:p w:rsidR="006614BF" w:rsidRPr="006614BF" w:rsidRDefault="006614BF" w:rsidP="004251CA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4BDC">
        <w:rPr>
          <w:rFonts w:ascii="Times New Roman" w:hAnsi="Times New Roman" w:cs="Times New Roman"/>
          <w:sz w:val="28"/>
          <w:szCs w:val="28"/>
        </w:rPr>
        <w:t>города Сочи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34BDC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614BF" w:rsidRDefault="006614BF" w:rsidP="004251C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4BF" w:rsidSect="007455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05" w:rsidRDefault="00D81405" w:rsidP="00745584">
      <w:pPr>
        <w:spacing w:after="0" w:line="240" w:lineRule="auto"/>
      </w:pPr>
      <w:r>
        <w:separator/>
      </w:r>
    </w:p>
  </w:endnote>
  <w:endnote w:type="continuationSeparator" w:id="0">
    <w:p w:rsidR="00D81405" w:rsidRDefault="00D81405" w:rsidP="0074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05" w:rsidRDefault="00D81405" w:rsidP="00745584">
      <w:pPr>
        <w:spacing w:after="0" w:line="240" w:lineRule="auto"/>
      </w:pPr>
      <w:r>
        <w:separator/>
      </w:r>
    </w:p>
  </w:footnote>
  <w:footnote w:type="continuationSeparator" w:id="0">
    <w:p w:rsidR="00D81405" w:rsidRDefault="00D81405" w:rsidP="0074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873441"/>
      <w:docPartObj>
        <w:docPartGallery w:val="Page Numbers (Top of Page)"/>
        <w:docPartUnique/>
      </w:docPartObj>
    </w:sdtPr>
    <w:sdtEndPr/>
    <w:sdtContent>
      <w:p w:rsidR="00745584" w:rsidRDefault="0074558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BF">
          <w:rPr>
            <w:noProof/>
          </w:rPr>
          <w:t>13</w:t>
        </w:r>
        <w:r>
          <w:fldChar w:fldCharType="end"/>
        </w:r>
      </w:p>
    </w:sdtContent>
  </w:sdt>
  <w:p w:rsidR="00745584" w:rsidRDefault="0074558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663"/>
    <w:multiLevelType w:val="hybridMultilevel"/>
    <w:tmpl w:val="C3925FD4"/>
    <w:lvl w:ilvl="0" w:tplc="3CA28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6"/>
    <w:rsid w:val="000204AD"/>
    <w:rsid w:val="00060CB4"/>
    <w:rsid w:val="00075478"/>
    <w:rsid w:val="000C3805"/>
    <w:rsid w:val="000C42F0"/>
    <w:rsid w:val="000D2CF9"/>
    <w:rsid w:val="000D37D7"/>
    <w:rsid w:val="001270E8"/>
    <w:rsid w:val="001341BA"/>
    <w:rsid w:val="0016074B"/>
    <w:rsid w:val="00165803"/>
    <w:rsid w:val="0017205D"/>
    <w:rsid w:val="00181CC9"/>
    <w:rsid w:val="00182EC6"/>
    <w:rsid w:val="001F6CFC"/>
    <w:rsid w:val="0022391D"/>
    <w:rsid w:val="00255F57"/>
    <w:rsid w:val="00263936"/>
    <w:rsid w:val="002662DB"/>
    <w:rsid w:val="00270084"/>
    <w:rsid w:val="002C2D72"/>
    <w:rsid w:val="002C75BF"/>
    <w:rsid w:val="002D1F1B"/>
    <w:rsid w:val="002D6F33"/>
    <w:rsid w:val="002F7F95"/>
    <w:rsid w:val="00330DC8"/>
    <w:rsid w:val="0033413A"/>
    <w:rsid w:val="00355D82"/>
    <w:rsid w:val="00357812"/>
    <w:rsid w:val="00364C7C"/>
    <w:rsid w:val="00381F72"/>
    <w:rsid w:val="00395B43"/>
    <w:rsid w:val="003E2A2F"/>
    <w:rsid w:val="003E33A7"/>
    <w:rsid w:val="003E7F82"/>
    <w:rsid w:val="003F33D9"/>
    <w:rsid w:val="00404F74"/>
    <w:rsid w:val="004227C1"/>
    <w:rsid w:val="004251CA"/>
    <w:rsid w:val="00442CD7"/>
    <w:rsid w:val="0047745E"/>
    <w:rsid w:val="004B7225"/>
    <w:rsid w:val="004D3FD9"/>
    <w:rsid w:val="004F0491"/>
    <w:rsid w:val="00532485"/>
    <w:rsid w:val="005340CB"/>
    <w:rsid w:val="00541E8A"/>
    <w:rsid w:val="005D0A62"/>
    <w:rsid w:val="005D1300"/>
    <w:rsid w:val="005D5BC7"/>
    <w:rsid w:val="0061027E"/>
    <w:rsid w:val="006114FA"/>
    <w:rsid w:val="00630FB8"/>
    <w:rsid w:val="006568F9"/>
    <w:rsid w:val="00660FD9"/>
    <w:rsid w:val="006614BF"/>
    <w:rsid w:val="00695135"/>
    <w:rsid w:val="006A2EE1"/>
    <w:rsid w:val="006B010E"/>
    <w:rsid w:val="006E35BA"/>
    <w:rsid w:val="006E7027"/>
    <w:rsid w:val="006E7B70"/>
    <w:rsid w:val="00704037"/>
    <w:rsid w:val="00721F23"/>
    <w:rsid w:val="00725618"/>
    <w:rsid w:val="0073776C"/>
    <w:rsid w:val="00745584"/>
    <w:rsid w:val="007552F0"/>
    <w:rsid w:val="00760A69"/>
    <w:rsid w:val="0076433E"/>
    <w:rsid w:val="00765D0A"/>
    <w:rsid w:val="00770884"/>
    <w:rsid w:val="00773897"/>
    <w:rsid w:val="00796845"/>
    <w:rsid w:val="007A0A21"/>
    <w:rsid w:val="007A28BD"/>
    <w:rsid w:val="007A7A4F"/>
    <w:rsid w:val="007A7EAD"/>
    <w:rsid w:val="007B48E8"/>
    <w:rsid w:val="007C342F"/>
    <w:rsid w:val="007E5E21"/>
    <w:rsid w:val="00815DA4"/>
    <w:rsid w:val="008709B5"/>
    <w:rsid w:val="00875C08"/>
    <w:rsid w:val="00882F33"/>
    <w:rsid w:val="0088567E"/>
    <w:rsid w:val="008B24F0"/>
    <w:rsid w:val="008C58E9"/>
    <w:rsid w:val="008F6A28"/>
    <w:rsid w:val="0091575C"/>
    <w:rsid w:val="00922188"/>
    <w:rsid w:val="00934E3E"/>
    <w:rsid w:val="00945B28"/>
    <w:rsid w:val="00966707"/>
    <w:rsid w:val="00970C0F"/>
    <w:rsid w:val="0097293C"/>
    <w:rsid w:val="00985EE7"/>
    <w:rsid w:val="009A2F0B"/>
    <w:rsid w:val="009C01FF"/>
    <w:rsid w:val="009C487F"/>
    <w:rsid w:val="00A06F4E"/>
    <w:rsid w:val="00A33DA8"/>
    <w:rsid w:val="00A34BDC"/>
    <w:rsid w:val="00A72157"/>
    <w:rsid w:val="00A80D2C"/>
    <w:rsid w:val="00A93E7C"/>
    <w:rsid w:val="00A940BF"/>
    <w:rsid w:val="00AB1AFF"/>
    <w:rsid w:val="00AD687F"/>
    <w:rsid w:val="00B22CF7"/>
    <w:rsid w:val="00B230A2"/>
    <w:rsid w:val="00B27FE5"/>
    <w:rsid w:val="00B426DD"/>
    <w:rsid w:val="00B62FBB"/>
    <w:rsid w:val="00BB5179"/>
    <w:rsid w:val="00BC1F0F"/>
    <w:rsid w:val="00BE4A88"/>
    <w:rsid w:val="00C01D2F"/>
    <w:rsid w:val="00C357B6"/>
    <w:rsid w:val="00C4123E"/>
    <w:rsid w:val="00C420FA"/>
    <w:rsid w:val="00C47ED5"/>
    <w:rsid w:val="00C71BE3"/>
    <w:rsid w:val="00C7270F"/>
    <w:rsid w:val="00C9285E"/>
    <w:rsid w:val="00C93C67"/>
    <w:rsid w:val="00C9422D"/>
    <w:rsid w:val="00CD23B8"/>
    <w:rsid w:val="00CE3BC1"/>
    <w:rsid w:val="00CE520A"/>
    <w:rsid w:val="00D02177"/>
    <w:rsid w:val="00D223B6"/>
    <w:rsid w:val="00D23903"/>
    <w:rsid w:val="00D37FCB"/>
    <w:rsid w:val="00D45D03"/>
    <w:rsid w:val="00D61418"/>
    <w:rsid w:val="00D81405"/>
    <w:rsid w:val="00D85B6B"/>
    <w:rsid w:val="00DC22D8"/>
    <w:rsid w:val="00DE7960"/>
    <w:rsid w:val="00DF1652"/>
    <w:rsid w:val="00DF5B8C"/>
    <w:rsid w:val="00E0292F"/>
    <w:rsid w:val="00E03A97"/>
    <w:rsid w:val="00E118D7"/>
    <w:rsid w:val="00E23E55"/>
    <w:rsid w:val="00E7301C"/>
    <w:rsid w:val="00E7651E"/>
    <w:rsid w:val="00E77E23"/>
    <w:rsid w:val="00E9154B"/>
    <w:rsid w:val="00EA62A3"/>
    <w:rsid w:val="00EB61A0"/>
    <w:rsid w:val="00F06B06"/>
    <w:rsid w:val="00F22818"/>
    <w:rsid w:val="00F3611F"/>
    <w:rsid w:val="00F36D12"/>
    <w:rsid w:val="00F37C9C"/>
    <w:rsid w:val="00F52289"/>
    <w:rsid w:val="00F52C5D"/>
    <w:rsid w:val="00F552D8"/>
    <w:rsid w:val="00F626DD"/>
    <w:rsid w:val="00F771BA"/>
    <w:rsid w:val="00F83F3F"/>
    <w:rsid w:val="00FC6A8C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1F6CFC"/>
    <w:rPr>
      <w:b/>
      <w:color w:val="26282F"/>
    </w:rPr>
  </w:style>
  <w:style w:type="character" w:styleId="a8">
    <w:name w:val="annotation reference"/>
    <w:basedOn w:val="a0"/>
    <w:uiPriority w:val="99"/>
    <w:semiHidden/>
    <w:unhideWhenUsed/>
    <w:rsid w:val="001F6C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6C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6C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6C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6CFC"/>
    <w:rPr>
      <w:b/>
      <w:bCs/>
      <w:sz w:val="20"/>
      <w:szCs w:val="20"/>
    </w:rPr>
  </w:style>
  <w:style w:type="character" w:customStyle="1" w:styleId="FontStyle12">
    <w:name w:val="Font Style12"/>
    <w:rsid w:val="00A06F4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CE3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E3BC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CE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E3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 (паспорт)"/>
    <w:basedOn w:val="a"/>
    <w:rsid w:val="00CE3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Revision"/>
    <w:hidden/>
    <w:uiPriority w:val="99"/>
    <w:semiHidden/>
    <w:rsid w:val="007E5E21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42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5584"/>
  </w:style>
  <w:style w:type="paragraph" w:styleId="af4">
    <w:name w:val="footer"/>
    <w:basedOn w:val="a"/>
    <w:link w:val="af5"/>
    <w:uiPriority w:val="99"/>
    <w:unhideWhenUsed/>
    <w:rsid w:val="0074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4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1F6CFC"/>
    <w:rPr>
      <w:b/>
      <w:color w:val="26282F"/>
    </w:rPr>
  </w:style>
  <w:style w:type="character" w:styleId="a8">
    <w:name w:val="annotation reference"/>
    <w:basedOn w:val="a0"/>
    <w:uiPriority w:val="99"/>
    <w:semiHidden/>
    <w:unhideWhenUsed/>
    <w:rsid w:val="001F6C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6C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6C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6C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6CFC"/>
    <w:rPr>
      <w:b/>
      <w:bCs/>
      <w:sz w:val="20"/>
      <w:szCs w:val="20"/>
    </w:rPr>
  </w:style>
  <w:style w:type="character" w:customStyle="1" w:styleId="FontStyle12">
    <w:name w:val="Font Style12"/>
    <w:rsid w:val="00A06F4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CE3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E3BC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CE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E3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 (паспорт)"/>
    <w:basedOn w:val="a"/>
    <w:rsid w:val="00CE3BC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Revision"/>
    <w:hidden/>
    <w:uiPriority w:val="99"/>
    <w:semiHidden/>
    <w:rsid w:val="007E5E21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42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5584"/>
  </w:style>
  <w:style w:type="paragraph" w:styleId="af4">
    <w:name w:val="footer"/>
    <w:basedOn w:val="a"/>
    <w:link w:val="af5"/>
    <w:uiPriority w:val="99"/>
    <w:unhideWhenUsed/>
    <w:rsid w:val="0074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4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8252-0C52-4CD9-9998-BF07860F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2015-06-26T07:44:00Z</cp:lastPrinted>
  <dcterms:created xsi:type="dcterms:W3CDTF">2015-10-05T13:04:00Z</dcterms:created>
  <dcterms:modified xsi:type="dcterms:W3CDTF">2015-10-05T13:04:00Z</dcterms:modified>
</cp:coreProperties>
</file>